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F8C9" w14:textId="1D34465D" w:rsidR="003F3DB5" w:rsidRPr="00BA6236" w:rsidRDefault="001A661B" w:rsidP="00BA6236">
      <w:pPr>
        <w:jc w:val="center"/>
        <w:rPr>
          <w:b/>
          <w:sz w:val="24"/>
          <w:szCs w:val="28"/>
        </w:rPr>
      </w:pPr>
      <w:r w:rsidRPr="00BA6236">
        <w:rPr>
          <w:b/>
          <w:sz w:val="24"/>
          <w:szCs w:val="28"/>
        </w:rPr>
        <w:t>CIBC Mortgages Inc.</w:t>
      </w:r>
    </w:p>
    <w:p w14:paraId="22665143" w14:textId="77777777" w:rsidR="007B6CB2" w:rsidRPr="00922D1E" w:rsidRDefault="001A661B" w:rsidP="00BA6236">
      <w:pPr>
        <w:pStyle w:val="Heading1"/>
      </w:pPr>
      <w:r w:rsidRPr="00922D1E">
        <w:t>SPECIAL INSTRUCTIONS TO</w:t>
      </w:r>
      <w:r w:rsidRPr="00922D1E">
        <w:rPr>
          <w:spacing w:val="-34"/>
        </w:rPr>
        <w:t xml:space="preserve"> </w:t>
      </w:r>
      <w:r w:rsidRPr="00BA6236">
        <w:t>SOLICITORS</w:t>
      </w:r>
    </w:p>
    <w:p w14:paraId="6F08F8CB" w14:textId="2E873AA1" w:rsidR="003F3DB5" w:rsidRDefault="001A661B" w:rsidP="00BA6236">
      <w:pPr>
        <w:pStyle w:val="Heading2"/>
      </w:pPr>
      <w:r w:rsidRPr="00922D1E">
        <w:t xml:space="preserve">New </w:t>
      </w:r>
      <w:r w:rsidRPr="00BA6236">
        <w:t>Brunswick</w:t>
      </w:r>
      <w:r w:rsidRPr="00922D1E">
        <w:t xml:space="preserve"> Documents</w:t>
      </w:r>
    </w:p>
    <w:p w14:paraId="14E0F2EE" w14:textId="77777777" w:rsidR="00922D1E" w:rsidRPr="00922D1E" w:rsidRDefault="00922D1E" w:rsidP="00922D1E"/>
    <w:p w14:paraId="6F08F8D4" w14:textId="77777777" w:rsidR="003F3DB5" w:rsidRPr="00922D1E" w:rsidRDefault="001A661B" w:rsidP="00ED0676">
      <w:pPr>
        <w:pStyle w:val="ListParagraph"/>
        <w:numPr>
          <w:ilvl w:val="0"/>
          <w:numId w:val="2"/>
        </w:numPr>
        <w:tabs>
          <w:tab w:val="left" w:pos="778"/>
        </w:tabs>
        <w:spacing w:before="1"/>
        <w:ind w:right="0" w:hanging="358"/>
        <w:jc w:val="left"/>
        <w:rPr>
          <w:rFonts w:cs="Tahoma"/>
          <w:sz w:val="24"/>
        </w:rPr>
      </w:pPr>
      <w:r w:rsidRPr="00922D1E">
        <w:rPr>
          <w:rFonts w:cs="Tahoma"/>
          <w:sz w:val="24"/>
        </w:rPr>
        <w:t xml:space="preserve">In </w:t>
      </w:r>
      <w:r w:rsidRPr="00922D1E">
        <w:rPr>
          <w:rFonts w:cs="Tahoma"/>
          <w:spacing w:val="-3"/>
          <w:sz w:val="24"/>
        </w:rPr>
        <w:t xml:space="preserve">preparing documents, please maintain 1.5" margin requirements </w:t>
      </w:r>
      <w:r w:rsidRPr="00922D1E">
        <w:rPr>
          <w:rFonts w:cs="Tahoma"/>
          <w:sz w:val="24"/>
        </w:rPr>
        <w:t>at top and</w:t>
      </w:r>
      <w:r w:rsidRPr="00922D1E">
        <w:rPr>
          <w:rFonts w:cs="Tahoma"/>
          <w:spacing w:val="-37"/>
          <w:sz w:val="24"/>
        </w:rPr>
        <w:t xml:space="preserve"> </w:t>
      </w:r>
      <w:r w:rsidRPr="00922D1E">
        <w:rPr>
          <w:rFonts w:cs="Tahoma"/>
          <w:spacing w:val="-4"/>
          <w:sz w:val="24"/>
        </w:rPr>
        <w:t xml:space="preserve">left </w:t>
      </w:r>
      <w:r w:rsidRPr="00922D1E">
        <w:rPr>
          <w:rFonts w:cs="Tahoma"/>
          <w:sz w:val="24"/>
        </w:rPr>
        <w:t>hand side of each page of mortgage and</w:t>
      </w:r>
      <w:r w:rsidRPr="00922D1E">
        <w:rPr>
          <w:rFonts w:cs="Tahoma"/>
          <w:spacing w:val="-6"/>
          <w:sz w:val="24"/>
        </w:rPr>
        <w:t xml:space="preserve"> </w:t>
      </w:r>
      <w:r w:rsidRPr="00922D1E">
        <w:rPr>
          <w:rFonts w:cs="Tahoma"/>
          <w:sz w:val="24"/>
        </w:rPr>
        <w:t>Schedules.</w:t>
      </w:r>
    </w:p>
    <w:p w14:paraId="6F08F8D6" w14:textId="77777777" w:rsidR="003F3DB5" w:rsidRPr="00922D1E" w:rsidRDefault="001A661B" w:rsidP="00ED0676">
      <w:pPr>
        <w:pStyle w:val="ListParagraph"/>
        <w:numPr>
          <w:ilvl w:val="0"/>
          <w:numId w:val="2"/>
        </w:numPr>
        <w:tabs>
          <w:tab w:val="left" w:pos="780"/>
        </w:tabs>
        <w:ind w:right="0" w:hanging="358"/>
        <w:jc w:val="left"/>
        <w:rPr>
          <w:rFonts w:cs="Tahoma"/>
          <w:sz w:val="24"/>
        </w:rPr>
      </w:pPr>
      <w:r w:rsidRPr="00922D1E">
        <w:rPr>
          <w:rFonts w:cs="Tahoma"/>
          <w:sz w:val="24"/>
        </w:rPr>
        <w:t>The mortgagor MUST BE PROVIDED with a full copy of all the applicable covenants and conditions and be made fully aware of their contents prior to execution of the</w:t>
      </w:r>
      <w:r w:rsidRPr="00922D1E">
        <w:rPr>
          <w:rFonts w:cs="Tahoma"/>
          <w:spacing w:val="-1"/>
          <w:sz w:val="24"/>
        </w:rPr>
        <w:t xml:space="preserve"> </w:t>
      </w:r>
      <w:r w:rsidRPr="00922D1E">
        <w:rPr>
          <w:rFonts w:cs="Tahoma"/>
          <w:sz w:val="24"/>
        </w:rPr>
        <w:t>mortgage.</w:t>
      </w:r>
    </w:p>
    <w:p w14:paraId="6F08F8D8" w14:textId="77777777" w:rsidR="003F3DB5" w:rsidRPr="00922D1E" w:rsidRDefault="001A661B" w:rsidP="00ED0676">
      <w:pPr>
        <w:pStyle w:val="ListParagraph"/>
        <w:numPr>
          <w:ilvl w:val="0"/>
          <w:numId w:val="2"/>
        </w:numPr>
        <w:tabs>
          <w:tab w:val="left" w:pos="780"/>
        </w:tabs>
        <w:ind w:right="0" w:hanging="358"/>
        <w:jc w:val="left"/>
        <w:rPr>
          <w:rFonts w:cs="Tahoma"/>
          <w:sz w:val="24"/>
        </w:rPr>
      </w:pPr>
      <w:r w:rsidRPr="00922D1E">
        <w:rPr>
          <w:rFonts w:cs="Tahoma"/>
          <w:sz w:val="24"/>
        </w:rPr>
        <w:t>You are responsible to ensure that all necessary and desirable affidavits are properly completed and attached, including without limitation, the appropriate marital property</w:t>
      </w:r>
      <w:r w:rsidRPr="00922D1E">
        <w:rPr>
          <w:rFonts w:cs="Tahoma"/>
          <w:spacing w:val="-1"/>
          <w:sz w:val="24"/>
        </w:rPr>
        <w:t xml:space="preserve"> </w:t>
      </w:r>
      <w:r w:rsidRPr="00922D1E">
        <w:rPr>
          <w:rFonts w:cs="Tahoma"/>
          <w:sz w:val="24"/>
        </w:rPr>
        <w:t>affidavits.</w:t>
      </w:r>
    </w:p>
    <w:p w14:paraId="6F08F8DA" w14:textId="77777777" w:rsidR="003F3DB5" w:rsidRPr="00922D1E" w:rsidRDefault="001A661B" w:rsidP="00ED0676">
      <w:pPr>
        <w:pStyle w:val="ListParagraph"/>
        <w:numPr>
          <w:ilvl w:val="0"/>
          <w:numId w:val="2"/>
        </w:numPr>
        <w:tabs>
          <w:tab w:val="left" w:pos="780"/>
        </w:tabs>
        <w:ind w:right="0" w:hanging="358"/>
        <w:jc w:val="left"/>
        <w:rPr>
          <w:rFonts w:cs="Tahoma"/>
          <w:sz w:val="24"/>
        </w:rPr>
      </w:pPr>
      <w:r w:rsidRPr="00922D1E">
        <w:rPr>
          <w:rFonts w:cs="Tahoma"/>
          <w:sz w:val="24"/>
        </w:rPr>
        <w:t>The acknowledgement of receipt of a copy of all the covenants and conditions must be dated and signed by all executing parties simultaneously with the execution of the mortgage to be delivered to us with your final</w:t>
      </w:r>
      <w:r w:rsidRPr="00922D1E">
        <w:rPr>
          <w:rFonts w:cs="Tahoma"/>
          <w:spacing w:val="-17"/>
          <w:sz w:val="24"/>
        </w:rPr>
        <w:t xml:space="preserve"> </w:t>
      </w:r>
      <w:r w:rsidRPr="00922D1E">
        <w:rPr>
          <w:rFonts w:cs="Tahoma"/>
          <w:sz w:val="24"/>
        </w:rPr>
        <w:t>report.</w:t>
      </w:r>
    </w:p>
    <w:p w14:paraId="6B32250B" w14:textId="10F62687" w:rsidR="00922D1E" w:rsidRPr="00922D1E" w:rsidRDefault="001A661B" w:rsidP="00922D1E">
      <w:pPr>
        <w:pStyle w:val="ListParagraph"/>
        <w:numPr>
          <w:ilvl w:val="0"/>
          <w:numId w:val="2"/>
        </w:numPr>
        <w:tabs>
          <w:tab w:val="left" w:pos="778"/>
        </w:tabs>
        <w:spacing w:before="1"/>
        <w:ind w:right="0" w:hanging="358"/>
        <w:jc w:val="left"/>
      </w:pPr>
      <w:r w:rsidRPr="00922D1E">
        <w:rPr>
          <w:rFonts w:cs="Tahoma"/>
          <w:spacing w:val="-3"/>
          <w:sz w:val="24"/>
        </w:rPr>
        <w:t>These</w:t>
      </w:r>
      <w:r w:rsidRPr="00922D1E">
        <w:rPr>
          <w:rFonts w:cs="Tahoma"/>
          <w:spacing w:val="-7"/>
          <w:sz w:val="24"/>
        </w:rPr>
        <w:t xml:space="preserve"> </w:t>
      </w:r>
      <w:r w:rsidRPr="00922D1E">
        <w:rPr>
          <w:rFonts w:cs="Tahoma"/>
          <w:spacing w:val="-3"/>
          <w:sz w:val="24"/>
        </w:rPr>
        <w:t>Special</w:t>
      </w:r>
      <w:r w:rsidRPr="00922D1E">
        <w:rPr>
          <w:rFonts w:cs="Tahoma"/>
          <w:spacing w:val="-7"/>
          <w:sz w:val="24"/>
        </w:rPr>
        <w:t xml:space="preserve"> </w:t>
      </w:r>
      <w:r w:rsidRPr="00922D1E">
        <w:rPr>
          <w:rFonts w:cs="Tahoma"/>
          <w:spacing w:val="-3"/>
          <w:sz w:val="24"/>
        </w:rPr>
        <w:t>Instructions</w:t>
      </w:r>
      <w:r w:rsidRPr="00922D1E">
        <w:rPr>
          <w:rFonts w:cs="Tahoma"/>
          <w:spacing w:val="-9"/>
          <w:sz w:val="24"/>
        </w:rPr>
        <w:t xml:space="preserve"> </w:t>
      </w:r>
      <w:r w:rsidRPr="00922D1E">
        <w:rPr>
          <w:rFonts w:cs="Tahoma"/>
          <w:sz w:val="24"/>
        </w:rPr>
        <w:t>are</w:t>
      </w:r>
      <w:r w:rsidRPr="00922D1E">
        <w:rPr>
          <w:rFonts w:cs="Tahoma"/>
          <w:spacing w:val="-7"/>
          <w:sz w:val="24"/>
        </w:rPr>
        <w:t xml:space="preserve"> </w:t>
      </w:r>
      <w:r w:rsidRPr="00922D1E">
        <w:rPr>
          <w:rFonts w:cs="Tahoma"/>
          <w:sz w:val="24"/>
        </w:rPr>
        <w:t>in</w:t>
      </w:r>
      <w:r w:rsidRPr="00922D1E">
        <w:rPr>
          <w:rFonts w:cs="Tahoma"/>
          <w:spacing w:val="-7"/>
          <w:sz w:val="24"/>
        </w:rPr>
        <w:t xml:space="preserve"> </w:t>
      </w:r>
      <w:r w:rsidRPr="00922D1E">
        <w:rPr>
          <w:rFonts w:cs="Tahoma"/>
          <w:spacing w:val="-3"/>
          <w:sz w:val="24"/>
        </w:rPr>
        <w:t>addition</w:t>
      </w:r>
      <w:r w:rsidRPr="00922D1E">
        <w:rPr>
          <w:rFonts w:cs="Tahoma"/>
          <w:spacing w:val="-7"/>
          <w:sz w:val="24"/>
        </w:rPr>
        <w:t xml:space="preserve"> </w:t>
      </w:r>
      <w:r w:rsidRPr="00922D1E">
        <w:rPr>
          <w:rFonts w:cs="Tahoma"/>
          <w:sz w:val="24"/>
        </w:rPr>
        <w:t>to</w:t>
      </w:r>
      <w:r w:rsidRPr="00922D1E">
        <w:rPr>
          <w:rFonts w:cs="Tahoma"/>
          <w:spacing w:val="-7"/>
          <w:sz w:val="24"/>
        </w:rPr>
        <w:t xml:space="preserve"> </w:t>
      </w:r>
      <w:r w:rsidRPr="00922D1E">
        <w:rPr>
          <w:rFonts w:cs="Tahoma"/>
          <w:sz w:val="24"/>
        </w:rPr>
        <w:t>and</w:t>
      </w:r>
      <w:r w:rsidRPr="00922D1E">
        <w:rPr>
          <w:rFonts w:cs="Tahoma"/>
          <w:spacing w:val="-6"/>
          <w:sz w:val="24"/>
        </w:rPr>
        <w:t xml:space="preserve"> </w:t>
      </w:r>
      <w:r w:rsidRPr="00922D1E">
        <w:rPr>
          <w:rFonts w:cs="Tahoma"/>
          <w:sz w:val="24"/>
        </w:rPr>
        <w:t>not</w:t>
      </w:r>
      <w:r w:rsidRPr="00922D1E">
        <w:rPr>
          <w:rFonts w:cs="Tahoma"/>
          <w:spacing w:val="-6"/>
          <w:sz w:val="24"/>
        </w:rPr>
        <w:t xml:space="preserve"> </w:t>
      </w:r>
      <w:r w:rsidRPr="00922D1E">
        <w:rPr>
          <w:rFonts w:cs="Tahoma"/>
          <w:spacing w:val="-3"/>
          <w:sz w:val="24"/>
        </w:rPr>
        <w:t>in</w:t>
      </w:r>
      <w:r w:rsidRPr="00922D1E">
        <w:rPr>
          <w:rFonts w:cs="Tahoma"/>
          <w:spacing w:val="-5"/>
          <w:sz w:val="24"/>
        </w:rPr>
        <w:t xml:space="preserve"> </w:t>
      </w:r>
      <w:r w:rsidRPr="00922D1E">
        <w:rPr>
          <w:rFonts w:cs="Tahoma"/>
          <w:spacing w:val="-4"/>
          <w:sz w:val="24"/>
        </w:rPr>
        <w:t>substitution</w:t>
      </w:r>
      <w:r w:rsidRPr="00922D1E">
        <w:rPr>
          <w:rFonts w:cs="Tahoma"/>
          <w:spacing w:val="-6"/>
          <w:sz w:val="24"/>
        </w:rPr>
        <w:t xml:space="preserve"> </w:t>
      </w:r>
      <w:r w:rsidRPr="00922D1E">
        <w:rPr>
          <w:rFonts w:cs="Tahoma"/>
          <w:sz w:val="24"/>
        </w:rPr>
        <w:t>for</w:t>
      </w:r>
      <w:r w:rsidRPr="00922D1E">
        <w:rPr>
          <w:rFonts w:cs="Tahoma"/>
          <w:spacing w:val="-6"/>
          <w:sz w:val="24"/>
        </w:rPr>
        <w:t xml:space="preserve"> </w:t>
      </w:r>
      <w:r w:rsidRPr="00922D1E">
        <w:rPr>
          <w:rFonts w:cs="Tahoma"/>
          <w:sz w:val="24"/>
        </w:rPr>
        <w:t>our</w:t>
      </w:r>
      <w:r w:rsidRPr="00922D1E">
        <w:rPr>
          <w:rFonts w:cs="Tahoma"/>
          <w:spacing w:val="-6"/>
          <w:sz w:val="24"/>
        </w:rPr>
        <w:t xml:space="preserve"> </w:t>
      </w:r>
      <w:r w:rsidRPr="00922D1E">
        <w:rPr>
          <w:rFonts w:cs="Tahoma"/>
          <w:spacing w:val="-3"/>
          <w:sz w:val="24"/>
        </w:rPr>
        <w:t xml:space="preserve">regular </w:t>
      </w:r>
      <w:r w:rsidRPr="00922D1E">
        <w:rPr>
          <w:rFonts w:cs="Tahoma"/>
          <w:sz w:val="24"/>
        </w:rPr>
        <w:t>Instructions to Solicitors enclosed</w:t>
      </w:r>
      <w:r w:rsidRPr="00922D1E">
        <w:rPr>
          <w:rFonts w:cs="Tahoma"/>
          <w:spacing w:val="-3"/>
          <w:sz w:val="24"/>
        </w:rPr>
        <w:t xml:space="preserve"> </w:t>
      </w:r>
      <w:r w:rsidRPr="00922D1E">
        <w:rPr>
          <w:rFonts w:cs="Tahoma"/>
          <w:sz w:val="24"/>
        </w:rPr>
        <w:t>herein.</w:t>
      </w:r>
    </w:p>
    <w:sectPr w:rsidR="00922D1E" w:rsidRPr="00922D1E" w:rsidSect="00BA6236">
      <w:headerReference w:type="default" r:id="rId10"/>
      <w:footerReference w:type="default" r:id="rId11"/>
      <w:type w:val="continuous"/>
      <w:pgSz w:w="12240" w:h="15840"/>
      <w:pgMar w:top="149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7BDD" w14:textId="77777777" w:rsidR="002125B3" w:rsidRDefault="002125B3" w:rsidP="00415BF6">
      <w:r>
        <w:separator/>
      </w:r>
    </w:p>
  </w:endnote>
  <w:endnote w:type="continuationSeparator" w:id="0">
    <w:p w14:paraId="061091D0" w14:textId="77777777" w:rsidR="002125B3" w:rsidRDefault="002125B3" w:rsidP="0041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8F9E" w14:textId="77777777" w:rsidR="00BC0959" w:rsidRPr="00E5488E" w:rsidRDefault="00BC0959" w:rsidP="00BA6236">
    <w:pPr>
      <w:pStyle w:val="Footer"/>
      <w:tabs>
        <w:tab w:val="clear" w:pos="4680"/>
        <w:tab w:val="clear" w:pos="9360"/>
        <w:tab w:val="right" w:pos="10800"/>
      </w:tabs>
      <w:rPr>
        <w:rFonts w:eastAsiaTheme="minorHAnsi"/>
        <w:spacing w:val="-10"/>
      </w:rPr>
    </w:pPr>
    <w:r w:rsidRPr="00E5488E">
      <w:t>"SIMPLII FINANCIAL" and the SIMPLII FINANCIAL DESIGNS are trademarks of CIBC</w:t>
    </w:r>
    <w:r>
      <w:tab/>
    </w:r>
    <w:r w:rsidRPr="00E5488E">
      <w:rPr>
        <w:spacing w:val="-10"/>
      </w:rPr>
      <w:t>PO Box 115, Commerce Court Postal Station, Toronto ON M5L 1E5</w:t>
    </w:r>
  </w:p>
  <w:p w14:paraId="2253881A" w14:textId="77777777" w:rsidR="00BC0959" w:rsidRPr="00E5488E" w:rsidRDefault="00BC0959" w:rsidP="00CF133C">
    <w:pPr>
      <w:pStyle w:val="Footer"/>
      <w:tabs>
        <w:tab w:val="clear" w:pos="9360"/>
        <w:tab w:val="right" w:pos="11340"/>
      </w:tabs>
    </w:pPr>
    <w:r w:rsidRPr="00E5488E">
      <w:rPr>
        <w:lang w:val="en-CA"/>
      </w:rPr>
      <w:t>"Simplii Financial" is a division of CIBC. Banking services are not available in Quebec</w:t>
    </w:r>
    <w:r>
      <w:rPr>
        <w:lang w:val="en-CA"/>
      </w:rPr>
      <w:tab/>
    </w:r>
    <w:r w:rsidRPr="00E5488E">
      <w:rPr>
        <w:lang w:val="en-CA"/>
      </w:rPr>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412" w14:textId="77777777" w:rsidR="002125B3" w:rsidRDefault="002125B3" w:rsidP="00415BF6">
      <w:r>
        <w:separator/>
      </w:r>
    </w:p>
  </w:footnote>
  <w:footnote w:type="continuationSeparator" w:id="0">
    <w:p w14:paraId="7D7076E9" w14:textId="77777777" w:rsidR="002125B3" w:rsidRDefault="002125B3" w:rsidP="0041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7937" w14:textId="77777777" w:rsidR="00922D1E" w:rsidRPr="00922D1E" w:rsidRDefault="00922D1E" w:rsidP="00BA6236">
    <w:pPr>
      <w:pStyle w:val="Header"/>
    </w:pPr>
    <w:r w:rsidRPr="00BA6236">
      <w:t>7625</w:t>
    </w:r>
    <w:r w:rsidRPr="00922D1E">
      <w:t>-00/03</w:t>
    </w:r>
  </w:p>
  <w:p w14:paraId="0587F931" w14:textId="4883A2DB" w:rsidR="00922D1E" w:rsidRPr="00922D1E" w:rsidRDefault="00922D1E" w:rsidP="00CF133C">
    <w:pPr>
      <w:pStyle w:val="Header"/>
      <w:rPr>
        <w:b/>
        <w:bCs/>
      </w:rPr>
    </w:pPr>
    <w:r w:rsidRPr="00922D1E">
      <w:rPr>
        <w:b/>
        <w:bCs/>
      </w:rPr>
      <w:t>New</w:t>
    </w:r>
    <w:r w:rsidRPr="00922D1E">
      <w:rPr>
        <w:b/>
        <w:bCs/>
        <w:spacing w:val="-7"/>
      </w:rPr>
      <w:t xml:space="preserve"> </w:t>
    </w:r>
    <w:r w:rsidRPr="00922D1E">
      <w:rPr>
        <w:b/>
        <w:bCs/>
      </w:rPr>
      <w:t>Brunswick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C231A"/>
    <w:multiLevelType w:val="hybridMultilevel"/>
    <w:tmpl w:val="ABE4FC1A"/>
    <w:lvl w:ilvl="0" w:tplc="327AE354">
      <w:start w:val="1"/>
      <w:numFmt w:val="decimal"/>
      <w:lvlText w:val="%1."/>
      <w:lvlJc w:val="left"/>
      <w:pPr>
        <w:ind w:left="779" w:hanging="358"/>
      </w:pPr>
      <w:rPr>
        <w:rFonts w:ascii="Arial" w:eastAsia="Arial" w:hAnsi="Arial" w:cs="Arial" w:hint="default"/>
        <w:spacing w:val="-6"/>
        <w:w w:val="100"/>
        <w:sz w:val="24"/>
        <w:szCs w:val="24"/>
      </w:rPr>
    </w:lvl>
    <w:lvl w:ilvl="1" w:tplc="CCC672D8">
      <w:numFmt w:val="bullet"/>
      <w:lvlText w:val="•"/>
      <w:lvlJc w:val="left"/>
      <w:pPr>
        <w:ind w:left="1630" w:hanging="358"/>
      </w:pPr>
      <w:rPr>
        <w:rFonts w:hint="default"/>
      </w:rPr>
    </w:lvl>
    <w:lvl w:ilvl="2" w:tplc="4E1C1D86">
      <w:numFmt w:val="bullet"/>
      <w:lvlText w:val="•"/>
      <w:lvlJc w:val="left"/>
      <w:pPr>
        <w:ind w:left="2480" w:hanging="358"/>
      </w:pPr>
      <w:rPr>
        <w:rFonts w:hint="default"/>
      </w:rPr>
    </w:lvl>
    <w:lvl w:ilvl="3" w:tplc="E5F200E2">
      <w:numFmt w:val="bullet"/>
      <w:lvlText w:val="•"/>
      <w:lvlJc w:val="left"/>
      <w:pPr>
        <w:ind w:left="3330" w:hanging="358"/>
      </w:pPr>
      <w:rPr>
        <w:rFonts w:hint="default"/>
      </w:rPr>
    </w:lvl>
    <w:lvl w:ilvl="4" w:tplc="438A9234">
      <w:numFmt w:val="bullet"/>
      <w:lvlText w:val="•"/>
      <w:lvlJc w:val="left"/>
      <w:pPr>
        <w:ind w:left="4180" w:hanging="358"/>
      </w:pPr>
      <w:rPr>
        <w:rFonts w:hint="default"/>
      </w:rPr>
    </w:lvl>
    <w:lvl w:ilvl="5" w:tplc="729E8108">
      <w:numFmt w:val="bullet"/>
      <w:lvlText w:val="•"/>
      <w:lvlJc w:val="left"/>
      <w:pPr>
        <w:ind w:left="5030" w:hanging="358"/>
      </w:pPr>
      <w:rPr>
        <w:rFonts w:hint="default"/>
      </w:rPr>
    </w:lvl>
    <w:lvl w:ilvl="6" w:tplc="B2829EFC">
      <w:numFmt w:val="bullet"/>
      <w:lvlText w:val="•"/>
      <w:lvlJc w:val="left"/>
      <w:pPr>
        <w:ind w:left="5880" w:hanging="358"/>
      </w:pPr>
      <w:rPr>
        <w:rFonts w:hint="default"/>
      </w:rPr>
    </w:lvl>
    <w:lvl w:ilvl="7" w:tplc="A9E65B64">
      <w:numFmt w:val="bullet"/>
      <w:lvlText w:val="•"/>
      <w:lvlJc w:val="left"/>
      <w:pPr>
        <w:ind w:left="6730" w:hanging="358"/>
      </w:pPr>
      <w:rPr>
        <w:rFonts w:hint="default"/>
      </w:rPr>
    </w:lvl>
    <w:lvl w:ilvl="8" w:tplc="5D980698">
      <w:numFmt w:val="bullet"/>
      <w:lvlText w:val="•"/>
      <w:lvlJc w:val="left"/>
      <w:pPr>
        <w:ind w:left="7580" w:hanging="358"/>
      </w:pPr>
      <w:rPr>
        <w:rFonts w:hint="default"/>
      </w:rPr>
    </w:lvl>
  </w:abstractNum>
  <w:abstractNum w:abstractNumId="1" w15:restartNumberingAfterBreak="0">
    <w:nsid w:val="6A0F7F46"/>
    <w:multiLevelType w:val="hybridMultilevel"/>
    <w:tmpl w:val="22B852DE"/>
    <w:lvl w:ilvl="0" w:tplc="91028770">
      <w:start w:val="1"/>
      <w:numFmt w:val="decimal"/>
      <w:lvlText w:val="%1."/>
      <w:lvlJc w:val="left"/>
      <w:rPr>
        <w:rFonts w:hint="default"/>
        <w:spacing w:val="-6"/>
        <w:w w:val="100"/>
        <w:sz w:val="24"/>
        <w:szCs w:val="24"/>
      </w:rPr>
    </w:lvl>
    <w:lvl w:ilvl="1" w:tplc="FFFFFFFF">
      <w:numFmt w:val="bullet"/>
      <w:lvlText w:val="•"/>
      <w:lvlJc w:val="left"/>
      <w:pPr>
        <w:ind w:left="1630" w:hanging="358"/>
      </w:pPr>
      <w:rPr>
        <w:rFonts w:hint="default"/>
      </w:rPr>
    </w:lvl>
    <w:lvl w:ilvl="2" w:tplc="FFFFFFFF">
      <w:numFmt w:val="bullet"/>
      <w:lvlText w:val="•"/>
      <w:lvlJc w:val="left"/>
      <w:pPr>
        <w:ind w:left="2480" w:hanging="358"/>
      </w:pPr>
      <w:rPr>
        <w:rFonts w:hint="default"/>
      </w:rPr>
    </w:lvl>
    <w:lvl w:ilvl="3" w:tplc="FFFFFFFF">
      <w:numFmt w:val="bullet"/>
      <w:lvlText w:val="•"/>
      <w:lvlJc w:val="left"/>
      <w:pPr>
        <w:ind w:left="3330" w:hanging="358"/>
      </w:pPr>
      <w:rPr>
        <w:rFonts w:hint="default"/>
      </w:rPr>
    </w:lvl>
    <w:lvl w:ilvl="4" w:tplc="FFFFFFFF">
      <w:numFmt w:val="bullet"/>
      <w:lvlText w:val="•"/>
      <w:lvlJc w:val="left"/>
      <w:pPr>
        <w:ind w:left="4180" w:hanging="358"/>
      </w:pPr>
      <w:rPr>
        <w:rFonts w:hint="default"/>
      </w:rPr>
    </w:lvl>
    <w:lvl w:ilvl="5" w:tplc="FFFFFFFF">
      <w:numFmt w:val="bullet"/>
      <w:lvlText w:val="•"/>
      <w:lvlJc w:val="left"/>
      <w:pPr>
        <w:ind w:left="5030" w:hanging="358"/>
      </w:pPr>
      <w:rPr>
        <w:rFonts w:hint="default"/>
      </w:rPr>
    </w:lvl>
    <w:lvl w:ilvl="6" w:tplc="FFFFFFFF">
      <w:numFmt w:val="bullet"/>
      <w:lvlText w:val="•"/>
      <w:lvlJc w:val="left"/>
      <w:pPr>
        <w:ind w:left="5880" w:hanging="358"/>
      </w:pPr>
      <w:rPr>
        <w:rFonts w:hint="default"/>
      </w:rPr>
    </w:lvl>
    <w:lvl w:ilvl="7" w:tplc="FFFFFFFF">
      <w:numFmt w:val="bullet"/>
      <w:lvlText w:val="•"/>
      <w:lvlJc w:val="left"/>
      <w:pPr>
        <w:ind w:left="6730" w:hanging="358"/>
      </w:pPr>
      <w:rPr>
        <w:rFonts w:hint="default"/>
      </w:rPr>
    </w:lvl>
    <w:lvl w:ilvl="8" w:tplc="FFFFFFFF">
      <w:numFmt w:val="bullet"/>
      <w:lvlText w:val="•"/>
      <w:lvlJc w:val="left"/>
      <w:pPr>
        <w:ind w:left="7580" w:hanging="3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B5"/>
    <w:rsid w:val="00096589"/>
    <w:rsid w:val="001A661B"/>
    <w:rsid w:val="002125B3"/>
    <w:rsid w:val="003E5C70"/>
    <w:rsid w:val="003F3DB5"/>
    <w:rsid w:val="00415BF6"/>
    <w:rsid w:val="005676F1"/>
    <w:rsid w:val="00575A80"/>
    <w:rsid w:val="007B6CB2"/>
    <w:rsid w:val="008102D9"/>
    <w:rsid w:val="008B26E7"/>
    <w:rsid w:val="00922D1E"/>
    <w:rsid w:val="00A128D0"/>
    <w:rsid w:val="00BA6236"/>
    <w:rsid w:val="00BC0959"/>
    <w:rsid w:val="00C148F8"/>
    <w:rsid w:val="00CC6280"/>
    <w:rsid w:val="00CF133C"/>
    <w:rsid w:val="00ED0676"/>
    <w:rsid w:val="00F51E85"/>
    <w:rsid w:val="00F83A4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8F8C6"/>
  <w15:docId w15:val="{0BD9AD24-CC4A-47E1-B0F6-7780AEE7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D0"/>
    <w:rPr>
      <w:rFonts w:ascii="Tahoma" w:eastAsia="Arial" w:hAnsi="Tahoma" w:cs="Arial"/>
      <w:sz w:val="20"/>
    </w:rPr>
  </w:style>
  <w:style w:type="paragraph" w:styleId="Heading1">
    <w:name w:val="heading 1"/>
    <w:basedOn w:val="Normal"/>
    <w:uiPriority w:val="9"/>
    <w:qFormat/>
    <w:rsid w:val="00BA6236"/>
    <w:pPr>
      <w:spacing w:before="158"/>
      <w:jc w:val="center"/>
      <w:outlineLvl w:val="0"/>
    </w:pPr>
    <w:rPr>
      <w:rFonts w:cs="Tahoma"/>
      <w:b/>
      <w:bCs/>
      <w:sz w:val="24"/>
      <w:szCs w:val="24"/>
    </w:rPr>
  </w:style>
  <w:style w:type="paragraph" w:styleId="Heading2">
    <w:name w:val="heading 2"/>
    <w:basedOn w:val="Heading1"/>
    <w:next w:val="Normal"/>
    <w:link w:val="Heading2Char"/>
    <w:uiPriority w:val="9"/>
    <w:unhideWhenUsed/>
    <w:qFormat/>
    <w:rsid w:val="00BA6236"/>
    <w:pPr>
      <w:outlineLvl w:val="1"/>
    </w:pPr>
  </w:style>
  <w:style w:type="paragraph" w:styleId="Heading3">
    <w:name w:val="heading 3"/>
    <w:basedOn w:val="Normal"/>
    <w:next w:val="Normal"/>
    <w:link w:val="Heading3Char"/>
    <w:uiPriority w:val="9"/>
    <w:semiHidden/>
    <w:unhideWhenUsed/>
    <w:qFormat/>
    <w:rsid w:val="00A128D0"/>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28D0"/>
    <w:rPr>
      <w:szCs w:val="24"/>
    </w:rPr>
  </w:style>
  <w:style w:type="paragraph" w:styleId="ListParagraph">
    <w:name w:val="List Paragraph"/>
    <w:basedOn w:val="Normal"/>
    <w:uiPriority w:val="1"/>
    <w:qFormat/>
    <w:rsid w:val="00BA6236"/>
    <w:pPr>
      <w:spacing w:before="120" w:after="120"/>
      <w:ind w:left="648" w:right="101"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A6236"/>
    <w:rPr>
      <w:rFonts w:ascii="Tahoma" w:eastAsia="Arial" w:hAnsi="Tahoma" w:cs="Tahoma"/>
      <w:b/>
      <w:bCs/>
      <w:sz w:val="24"/>
      <w:szCs w:val="24"/>
    </w:rPr>
  </w:style>
  <w:style w:type="paragraph" w:styleId="Header">
    <w:name w:val="header"/>
    <w:basedOn w:val="Normal"/>
    <w:link w:val="HeaderChar"/>
    <w:uiPriority w:val="99"/>
    <w:unhideWhenUsed/>
    <w:rsid w:val="00CF133C"/>
    <w:pPr>
      <w:tabs>
        <w:tab w:val="center" w:pos="4680"/>
        <w:tab w:val="right" w:pos="9360"/>
      </w:tabs>
      <w:jc w:val="right"/>
    </w:pPr>
    <w:rPr>
      <w:sz w:val="16"/>
    </w:rPr>
  </w:style>
  <w:style w:type="character" w:customStyle="1" w:styleId="HeaderChar">
    <w:name w:val="Header Char"/>
    <w:basedOn w:val="DefaultParagraphFont"/>
    <w:link w:val="Header"/>
    <w:uiPriority w:val="99"/>
    <w:rsid w:val="00CF133C"/>
    <w:rPr>
      <w:rFonts w:ascii="Tahoma" w:eastAsia="Arial" w:hAnsi="Tahoma" w:cs="Arial"/>
      <w:sz w:val="16"/>
    </w:rPr>
  </w:style>
  <w:style w:type="paragraph" w:styleId="Footer">
    <w:name w:val="footer"/>
    <w:basedOn w:val="Normal"/>
    <w:link w:val="FooterChar"/>
    <w:uiPriority w:val="99"/>
    <w:unhideWhenUsed/>
    <w:rsid w:val="00BA6236"/>
    <w:pPr>
      <w:tabs>
        <w:tab w:val="center" w:pos="4680"/>
        <w:tab w:val="right" w:pos="9360"/>
      </w:tabs>
      <w:spacing w:before="120"/>
      <w:contextualSpacing/>
    </w:pPr>
    <w:rPr>
      <w:sz w:val="16"/>
    </w:rPr>
  </w:style>
  <w:style w:type="character" w:customStyle="1" w:styleId="FooterChar">
    <w:name w:val="Footer Char"/>
    <w:basedOn w:val="DefaultParagraphFont"/>
    <w:link w:val="Footer"/>
    <w:uiPriority w:val="99"/>
    <w:rsid w:val="00BA6236"/>
    <w:rPr>
      <w:rFonts w:ascii="Tahoma" w:eastAsia="Arial" w:hAnsi="Tahoma" w:cs="Arial"/>
      <w:sz w:val="16"/>
    </w:rPr>
  </w:style>
  <w:style w:type="paragraph" w:styleId="Revision">
    <w:name w:val="Revision"/>
    <w:hidden/>
    <w:uiPriority w:val="99"/>
    <w:semiHidden/>
    <w:rsid w:val="00922D1E"/>
    <w:pPr>
      <w:widowControl/>
      <w:autoSpaceDE/>
      <w:autoSpaceDN/>
    </w:pPr>
    <w:rPr>
      <w:rFonts w:ascii="Arial" w:eastAsia="Arial" w:hAnsi="Arial" w:cs="Arial"/>
    </w:rPr>
  </w:style>
  <w:style w:type="character" w:customStyle="1" w:styleId="Heading3Char">
    <w:name w:val="Heading 3 Char"/>
    <w:basedOn w:val="DefaultParagraphFont"/>
    <w:link w:val="Heading3"/>
    <w:uiPriority w:val="9"/>
    <w:semiHidden/>
    <w:rsid w:val="00A128D0"/>
    <w:rPr>
      <w:rFonts w:ascii="Tahoma" w:eastAsiaTheme="majorEastAsia" w:hAnsi="Tahoma" w:cstheme="majorBidi"/>
      <w:color w:val="243F60" w:themeColor="accent1" w:themeShade="7F"/>
      <w:sz w:val="24"/>
      <w:szCs w:val="24"/>
    </w:rPr>
  </w:style>
  <w:style w:type="paragraph" w:styleId="BalloonText">
    <w:name w:val="Balloon Text"/>
    <w:basedOn w:val="Normal"/>
    <w:link w:val="BalloonTextChar"/>
    <w:uiPriority w:val="99"/>
    <w:semiHidden/>
    <w:unhideWhenUsed/>
    <w:rsid w:val="00BA6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23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3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62EAA-5C54-4851-86B0-161B2A92F1F2}">
  <ds:schemaRefs>
    <ds:schemaRef ds:uri="http://schemas.microsoft.com/sharepoint/v3/contenttype/forms"/>
  </ds:schemaRefs>
</ds:datastoreItem>
</file>

<file path=customXml/itemProps2.xml><?xml version="1.0" encoding="utf-8"?>
<ds:datastoreItem xmlns:ds="http://schemas.openxmlformats.org/officeDocument/2006/customXml" ds:itemID="{622F460E-732D-4A6B-A6F7-D3CC773FA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E08F0-656F-4355-AF36-D76339D52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SPECIAL INSTRUCTIONS TO  SOLICITORS  New Brunswick Documents</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INSTRUCTIONS TO  SOLICITORS  New Brunswick Documents</dc:title>
  <dc:creator>ZHANGJA</dc:creator>
  <cp:keywords>CIBC Mortgages Inc.; SPECIAL INSTRUCTIONS TO SOLICITORS; New Brunswick Documents</cp:keywords>
  <cp:lastModifiedBy>Sue Costa</cp:lastModifiedBy>
  <cp:revision>8</cp:revision>
  <dcterms:created xsi:type="dcterms:W3CDTF">2022-11-01T14:15:00Z</dcterms:created>
  <dcterms:modified xsi:type="dcterms:W3CDTF">2022-11-18T19:15:00Z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2002-03-25T00:00:00Z</vt:filetime>
  </property>
  <property fmtid="{D5CDD505-2E9C-101B-9397-08002B2CF9AE}" pid="3" name="Creator">
    <vt:lpwstr>PScript5.dll Version 5.2</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